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41" w:rsidRPr="00085241" w:rsidRDefault="00085241" w:rsidP="00781082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="Tahoma"/>
          <w:b/>
          <w:sz w:val="24"/>
          <w:szCs w:val="24"/>
        </w:rPr>
      </w:pPr>
    </w:p>
    <w:p w:rsidR="00A22273" w:rsidRPr="00A0224B" w:rsidRDefault="00A22273" w:rsidP="00781082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="Tahoma"/>
          <w:b/>
          <w:sz w:val="10"/>
          <w:szCs w:val="10"/>
        </w:rPr>
      </w:pPr>
    </w:p>
    <w:p w:rsidR="009E0861" w:rsidRDefault="009E0861" w:rsidP="0089469D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="Tahoma"/>
          <w:b/>
          <w:sz w:val="24"/>
          <w:szCs w:val="24"/>
        </w:rPr>
      </w:pPr>
      <w:r w:rsidRPr="00085241">
        <w:rPr>
          <w:rFonts w:ascii="Palatino Linotype" w:hAnsi="Palatino Linotype" w:cs="Tahoma"/>
          <w:b/>
          <w:sz w:val="24"/>
          <w:szCs w:val="24"/>
        </w:rPr>
        <w:t xml:space="preserve">VOTO PARTICULAR QUE FORMULA EL COMISIONADO LUIS GUSTAVO PARRA NORIEGA, EN RELACIÓN CON LA RESOLUCIÓN DEL RECURSO DE REVISIÓN </w:t>
      </w:r>
      <w:r w:rsidR="005A4884">
        <w:rPr>
          <w:rFonts w:ascii="Palatino Linotype" w:hAnsi="Palatino Linotype" w:cs="Tahoma"/>
          <w:b/>
          <w:sz w:val="24"/>
          <w:szCs w:val="24"/>
        </w:rPr>
        <w:t>03195</w:t>
      </w:r>
      <w:r w:rsidR="00DE4452" w:rsidRPr="00085241">
        <w:rPr>
          <w:rFonts w:ascii="Palatino Linotype" w:hAnsi="Palatino Linotype" w:cs="Tahoma"/>
          <w:b/>
          <w:sz w:val="24"/>
          <w:szCs w:val="24"/>
        </w:rPr>
        <w:t>/INFOEM/IP/RR/2018</w:t>
      </w:r>
      <w:r w:rsidRPr="00085241">
        <w:rPr>
          <w:rFonts w:ascii="Palatino Linotype" w:hAnsi="Palatino Linotype" w:cs="Tahoma"/>
          <w:b/>
          <w:caps/>
          <w:sz w:val="24"/>
          <w:szCs w:val="24"/>
        </w:rPr>
        <w:t>,</w:t>
      </w:r>
      <w:r w:rsidRPr="00085241">
        <w:rPr>
          <w:rFonts w:ascii="Palatino Linotype" w:hAnsi="Palatino Linotype" w:cs="Tahoma"/>
          <w:b/>
          <w:sz w:val="24"/>
          <w:szCs w:val="24"/>
        </w:rPr>
        <w:t xml:space="preserve"> PROMOVIDO EN </w:t>
      </w:r>
      <w:r w:rsidR="00792848">
        <w:rPr>
          <w:rFonts w:ascii="Palatino Linotype" w:hAnsi="Palatino Linotype" w:cs="Tahoma"/>
          <w:b/>
          <w:sz w:val="24"/>
          <w:szCs w:val="24"/>
        </w:rPr>
        <w:t xml:space="preserve">CONTRA DEL </w:t>
      </w:r>
      <w:r w:rsidR="005A4884" w:rsidRPr="005A4884">
        <w:rPr>
          <w:rFonts w:ascii="Palatino Linotype" w:hAnsi="Palatino Linotype" w:cs="Tahoma"/>
          <w:b/>
          <w:sz w:val="24"/>
          <w:szCs w:val="24"/>
        </w:rPr>
        <w:t>INSTITUTO DE SALUD DEL ESTADO DE MÉXICO</w:t>
      </w:r>
      <w:r w:rsidR="005A4884">
        <w:rPr>
          <w:rFonts w:ascii="Palatino Linotype" w:hAnsi="Palatino Linotype" w:cs="Tahoma"/>
          <w:b/>
          <w:sz w:val="24"/>
          <w:szCs w:val="24"/>
        </w:rPr>
        <w:t>.</w:t>
      </w:r>
    </w:p>
    <w:p w:rsidR="0089469D" w:rsidRPr="00085241" w:rsidRDefault="0089469D" w:rsidP="0089469D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E0861" w:rsidRPr="00085241" w:rsidRDefault="009E0861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00085241">
        <w:rPr>
          <w:rFonts w:ascii="Palatino Linotype" w:hAnsi="Palatino Linotype" w:cs="Tahoma"/>
          <w:sz w:val="24"/>
          <w:szCs w:val="24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085241">
        <w:rPr>
          <w:rFonts w:ascii="Palatino Linotype" w:hAnsi="Palatino Linotype" w:cs="Tahoma"/>
          <w:b/>
          <w:sz w:val="24"/>
          <w:szCs w:val="24"/>
        </w:rPr>
        <w:t>Voto Particular</w:t>
      </w:r>
      <w:r w:rsidRPr="00085241">
        <w:rPr>
          <w:rFonts w:ascii="Palatino Linotype" w:hAnsi="Palatino Linotype" w:cs="Tahoma"/>
          <w:sz w:val="24"/>
          <w:szCs w:val="24"/>
        </w:rPr>
        <w:t xml:space="preserve"> por no compartir en su totalidad las consideraciones que sustentan la Resolución del Recurso de Revisión </w:t>
      </w:r>
      <w:r w:rsidR="00A742D1" w:rsidRPr="00023B3D">
        <w:rPr>
          <w:rFonts w:ascii="Palatino Linotype" w:hAnsi="Palatino Linotype" w:cs="Tahoma"/>
          <w:b/>
          <w:sz w:val="24"/>
          <w:szCs w:val="24"/>
        </w:rPr>
        <w:t>0</w:t>
      </w:r>
      <w:r w:rsidR="005A4884">
        <w:rPr>
          <w:rFonts w:ascii="Palatino Linotype" w:hAnsi="Palatino Linotype" w:cs="Tahoma"/>
          <w:b/>
          <w:sz w:val="24"/>
          <w:szCs w:val="24"/>
        </w:rPr>
        <w:t>3195</w:t>
      </w:r>
      <w:r w:rsidR="00A742D1" w:rsidRPr="00023B3D">
        <w:rPr>
          <w:rFonts w:ascii="Palatino Linotype" w:hAnsi="Palatino Linotype" w:cs="Tahoma"/>
          <w:b/>
          <w:sz w:val="24"/>
          <w:szCs w:val="24"/>
        </w:rPr>
        <w:t>/INFOEM/IP/RR/</w:t>
      </w:r>
      <w:r w:rsidR="00104333" w:rsidRPr="00023B3D">
        <w:rPr>
          <w:rFonts w:ascii="Palatino Linotype" w:hAnsi="Palatino Linotype" w:cs="Tahoma"/>
          <w:b/>
          <w:sz w:val="24"/>
          <w:szCs w:val="24"/>
        </w:rPr>
        <w:t>2018</w:t>
      </w:r>
      <w:r w:rsidR="00104333" w:rsidRPr="00085241">
        <w:rPr>
          <w:rFonts w:ascii="Palatino Linotype" w:hAnsi="Palatino Linotype" w:cs="Tahoma"/>
          <w:sz w:val="24"/>
          <w:szCs w:val="24"/>
        </w:rPr>
        <w:t>.</w:t>
      </w:r>
    </w:p>
    <w:p w:rsidR="009E0861" w:rsidRPr="00085241" w:rsidRDefault="009E0861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D11C52" w:rsidRDefault="003C374F" w:rsidP="005A4884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 xml:space="preserve">Tal como se </w:t>
      </w:r>
      <w:r w:rsidR="009E42B2">
        <w:rPr>
          <w:rFonts w:ascii="Palatino Linotype" w:hAnsi="Palatino Linotype" w:cs="Tahoma"/>
          <w:sz w:val="24"/>
          <w:szCs w:val="24"/>
        </w:rPr>
        <w:t>desprende de</w:t>
      </w:r>
      <w:r>
        <w:rPr>
          <w:rFonts w:ascii="Palatino Linotype" w:hAnsi="Palatino Linotype" w:cs="Tahoma"/>
          <w:sz w:val="24"/>
          <w:szCs w:val="24"/>
        </w:rPr>
        <w:t xml:space="preserve"> la resolución </w:t>
      </w:r>
      <w:r w:rsidR="00A56DE1">
        <w:rPr>
          <w:rFonts w:ascii="Palatino Linotype" w:hAnsi="Palatino Linotype" w:cs="Tahoma"/>
          <w:sz w:val="24"/>
          <w:szCs w:val="24"/>
        </w:rPr>
        <w:t>en comento</w:t>
      </w:r>
      <w:r w:rsidR="00533EA5">
        <w:rPr>
          <w:rFonts w:ascii="Palatino Linotype" w:hAnsi="Palatino Linotype" w:cs="Tahoma"/>
          <w:sz w:val="24"/>
          <w:szCs w:val="24"/>
        </w:rPr>
        <w:t xml:space="preserve">, </w:t>
      </w:r>
      <w:r w:rsidR="009E42B2">
        <w:rPr>
          <w:rFonts w:ascii="Palatino Linotype" w:hAnsi="Palatino Linotype" w:cs="Tahoma"/>
          <w:sz w:val="24"/>
          <w:szCs w:val="24"/>
        </w:rPr>
        <w:t xml:space="preserve">la Ponencia Resolutoria señala que la información proporcionada por el sujeto obligado en respuesta a la solicitud de acceso, </w:t>
      </w:r>
      <w:r w:rsidR="009E42B2">
        <w:rPr>
          <w:rFonts w:ascii="Palatino Linotype" w:hAnsi="Palatino Linotype" w:cs="Tahoma"/>
          <w:b/>
          <w:sz w:val="24"/>
          <w:szCs w:val="24"/>
          <w:u w:val="single"/>
        </w:rPr>
        <w:t>contiene datos que podrían considerarse como confidenciales</w:t>
      </w:r>
      <w:r w:rsidR="00533EA5">
        <w:rPr>
          <w:rFonts w:ascii="Palatino Linotype" w:hAnsi="Palatino Linotype" w:cs="Tahoma"/>
          <w:b/>
          <w:sz w:val="24"/>
          <w:szCs w:val="24"/>
          <w:u w:val="single"/>
        </w:rPr>
        <w:t xml:space="preserve">, por lo que </w:t>
      </w:r>
      <w:r w:rsidR="00DC7DD2">
        <w:rPr>
          <w:rFonts w:ascii="Palatino Linotype" w:hAnsi="Palatino Linotype" w:cs="Tahoma"/>
          <w:b/>
          <w:sz w:val="24"/>
          <w:szCs w:val="24"/>
          <w:u w:val="single"/>
        </w:rPr>
        <w:t>acordó</w:t>
      </w:r>
      <w:r w:rsidR="00533EA5">
        <w:rPr>
          <w:rFonts w:ascii="Palatino Linotype" w:hAnsi="Palatino Linotype" w:cs="Tahoma"/>
          <w:b/>
          <w:sz w:val="24"/>
          <w:szCs w:val="24"/>
          <w:u w:val="single"/>
        </w:rPr>
        <w:t xml:space="preserve"> procedente dar vista al Órgano Interno de Control </w:t>
      </w:r>
      <w:r w:rsidR="00533EA5" w:rsidRPr="00533EA5">
        <w:rPr>
          <w:rFonts w:ascii="Palatino Linotype" w:hAnsi="Palatino Linotype" w:cs="Tahoma"/>
          <w:b/>
          <w:sz w:val="24"/>
          <w:szCs w:val="24"/>
          <w:u w:val="single"/>
        </w:rPr>
        <w:t>a efecto de que determine lo conducente</w:t>
      </w:r>
      <w:r w:rsidR="00A56DE1" w:rsidRPr="00A56DE1">
        <w:rPr>
          <w:rFonts w:ascii="Palatino Linotype" w:hAnsi="Palatino Linotype" w:cs="Tahoma"/>
          <w:sz w:val="24"/>
          <w:szCs w:val="24"/>
        </w:rPr>
        <w:t xml:space="preserve">. </w:t>
      </w:r>
      <w:r w:rsidR="009E42B2">
        <w:rPr>
          <w:rFonts w:ascii="Palatino Linotype" w:hAnsi="Palatino Linotype" w:cs="Tahoma"/>
          <w:sz w:val="24"/>
          <w:szCs w:val="24"/>
        </w:rPr>
        <w:t xml:space="preserve">Sin embargo, omite identificarlos y efectuar un análisis exhaustivo que permita fundar y motivar la clasificación de la información. </w:t>
      </w:r>
    </w:p>
    <w:p w:rsidR="003C374F" w:rsidRDefault="003C374F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3C374F" w:rsidRDefault="00A56DE1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>Al respecto, es precisó traer a colación</w:t>
      </w:r>
      <w:r w:rsidR="00D11C52">
        <w:rPr>
          <w:rFonts w:ascii="Palatino Linotype" w:hAnsi="Palatino Linotype" w:cs="Tahoma"/>
          <w:sz w:val="24"/>
          <w:szCs w:val="24"/>
        </w:rPr>
        <w:t xml:space="preserve"> lo resuelto por el Instituto Nacional de Transparencia, Acceso a la Información Pública y Protección de Datos Personales, en el Recurso de Inconformidad número RIA 0118/18</w:t>
      </w:r>
      <w:r w:rsidR="00F030F8">
        <w:rPr>
          <w:rFonts w:ascii="Palatino Linotype" w:hAnsi="Palatino Linotype" w:cs="Tahoma"/>
          <w:sz w:val="24"/>
          <w:szCs w:val="24"/>
        </w:rPr>
        <w:t xml:space="preserve">, </w:t>
      </w:r>
      <w:r>
        <w:rPr>
          <w:rFonts w:ascii="Palatino Linotype" w:hAnsi="Palatino Linotype" w:cs="Tahoma"/>
          <w:sz w:val="24"/>
          <w:szCs w:val="24"/>
        </w:rPr>
        <w:t xml:space="preserve">en el que medularmente </w:t>
      </w:r>
      <w:r w:rsidR="00A63FE9">
        <w:rPr>
          <w:rFonts w:ascii="Palatino Linotype" w:hAnsi="Palatino Linotype" w:cs="Tahoma"/>
          <w:sz w:val="24"/>
          <w:szCs w:val="24"/>
        </w:rPr>
        <w:t>indica</w:t>
      </w:r>
      <w:r>
        <w:rPr>
          <w:rFonts w:ascii="Palatino Linotype" w:hAnsi="Palatino Linotype" w:cs="Tahoma"/>
          <w:sz w:val="24"/>
          <w:szCs w:val="24"/>
        </w:rPr>
        <w:t xml:space="preserve">, que </w:t>
      </w:r>
      <w:r w:rsidR="00F030F8">
        <w:rPr>
          <w:rFonts w:ascii="Palatino Linotype" w:hAnsi="Palatino Linotype" w:cs="Tahoma"/>
          <w:sz w:val="24"/>
          <w:szCs w:val="24"/>
        </w:rPr>
        <w:t xml:space="preserve">este Órgano Garante </w:t>
      </w:r>
      <w:r w:rsidR="0099308A">
        <w:rPr>
          <w:rFonts w:ascii="Palatino Linotype" w:hAnsi="Palatino Linotype" w:cs="Tahoma"/>
          <w:sz w:val="24"/>
          <w:szCs w:val="24"/>
        </w:rPr>
        <w:t xml:space="preserve">tiene la obligación de allegarse de todos los elementos necesarios para otorgar certeza en sus determinaciones, lo que no es otra cosa que </w:t>
      </w:r>
      <w:r w:rsidR="009E42B2">
        <w:rPr>
          <w:rFonts w:ascii="Palatino Linotype" w:hAnsi="Palatino Linotype" w:cs="Tahoma"/>
          <w:sz w:val="24"/>
          <w:szCs w:val="24"/>
        </w:rPr>
        <w:t xml:space="preserve">identificar de forma precisa los datos </w:t>
      </w:r>
      <w:r w:rsidR="0099308A">
        <w:rPr>
          <w:rFonts w:ascii="Palatino Linotype" w:hAnsi="Palatino Linotype" w:cs="Tahoma"/>
          <w:sz w:val="24"/>
          <w:szCs w:val="24"/>
        </w:rPr>
        <w:t xml:space="preserve">que deben ser clasificados y </w:t>
      </w:r>
      <w:r w:rsidR="00A63FE9">
        <w:rPr>
          <w:rFonts w:ascii="Palatino Linotype" w:hAnsi="Palatino Linotype" w:cs="Tahoma"/>
          <w:sz w:val="24"/>
          <w:szCs w:val="24"/>
        </w:rPr>
        <w:t xml:space="preserve">elaborar </w:t>
      </w:r>
      <w:r w:rsidR="0099308A">
        <w:rPr>
          <w:rFonts w:ascii="Palatino Linotype" w:hAnsi="Palatino Linotype" w:cs="Tahoma"/>
          <w:sz w:val="24"/>
          <w:szCs w:val="24"/>
        </w:rPr>
        <w:t xml:space="preserve"> los</w:t>
      </w:r>
      <w:r w:rsidR="009E42B2">
        <w:rPr>
          <w:rFonts w:ascii="Palatino Linotype" w:hAnsi="Palatino Linotype" w:cs="Tahoma"/>
          <w:sz w:val="24"/>
          <w:szCs w:val="24"/>
        </w:rPr>
        <w:t xml:space="preserve"> </w:t>
      </w:r>
      <w:r w:rsidR="0099308A">
        <w:rPr>
          <w:rFonts w:ascii="Palatino Linotype" w:hAnsi="Palatino Linotype" w:cs="Tahoma"/>
          <w:sz w:val="24"/>
          <w:szCs w:val="24"/>
        </w:rPr>
        <w:t xml:space="preserve">argumentos que hacen que la información se sitúe en alguno de los </w:t>
      </w:r>
      <w:r w:rsidR="00A63FE9">
        <w:rPr>
          <w:rFonts w:ascii="Palatino Linotype" w:hAnsi="Palatino Linotype" w:cs="Tahoma"/>
          <w:sz w:val="24"/>
          <w:szCs w:val="24"/>
        </w:rPr>
        <w:t xml:space="preserve">supuestos de </w:t>
      </w:r>
      <w:r w:rsidR="00A63FE9">
        <w:rPr>
          <w:rFonts w:ascii="Palatino Linotype" w:hAnsi="Palatino Linotype" w:cs="Tahoma"/>
          <w:sz w:val="24"/>
          <w:szCs w:val="24"/>
        </w:rPr>
        <w:lastRenderedPageBreak/>
        <w:t>clasificación previstos por la Ley de Transparencia y Acceso a la Información Pública del Estado de México y Municipios.</w:t>
      </w:r>
    </w:p>
    <w:p w:rsidR="00533EA5" w:rsidRDefault="00533EA5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F030F8" w:rsidRDefault="00A63FE9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>En ese sentido, este Instituto debe</w:t>
      </w:r>
      <w:r w:rsidR="00F030F8">
        <w:rPr>
          <w:rFonts w:ascii="Palatino Linotype" w:hAnsi="Palatino Linotype" w:cs="Tahoma"/>
          <w:sz w:val="24"/>
          <w:szCs w:val="24"/>
        </w:rPr>
        <w:t xml:space="preserve"> efectuar la valoración del daño que causaría la divulgación de la información, </w:t>
      </w:r>
      <w:r>
        <w:rPr>
          <w:rFonts w:ascii="Palatino Linotype" w:hAnsi="Palatino Linotype" w:cs="Tahoma"/>
          <w:sz w:val="24"/>
          <w:szCs w:val="24"/>
        </w:rPr>
        <w:t>o bien la prueba de interés p</w:t>
      </w:r>
      <w:r w:rsidR="00F75629">
        <w:rPr>
          <w:rFonts w:ascii="Palatino Linotype" w:hAnsi="Palatino Linotype" w:cs="Tahoma"/>
          <w:sz w:val="24"/>
          <w:szCs w:val="24"/>
        </w:rPr>
        <w:t>úblico</w:t>
      </w:r>
      <w:r>
        <w:rPr>
          <w:rFonts w:ascii="Palatino Linotype" w:hAnsi="Palatino Linotype" w:cs="Tahoma"/>
          <w:sz w:val="24"/>
          <w:szCs w:val="24"/>
        </w:rPr>
        <w:t xml:space="preserve">, </w:t>
      </w:r>
      <w:r w:rsidR="00F030F8">
        <w:rPr>
          <w:rFonts w:ascii="Palatino Linotype" w:hAnsi="Palatino Linotype" w:cs="Tahoma"/>
          <w:sz w:val="24"/>
          <w:szCs w:val="24"/>
        </w:rPr>
        <w:t xml:space="preserve">con la finalidad de </w:t>
      </w:r>
      <w:r w:rsidR="00F030F8" w:rsidRPr="00F030F8">
        <w:rPr>
          <w:rFonts w:ascii="Palatino Linotype" w:hAnsi="Palatino Linotype" w:cs="Tahoma"/>
          <w:sz w:val="24"/>
          <w:szCs w:val="24"/>
        </w:rPr>
        <w:t xml:space="preserve">sustentar la </w:t>
      </w:r>
      <w:r>
        <w:rPr>
          <w:rFonts w:ascii="Palatino Linotype" w:hAnsi="Palatino Linotype" w:cs="Tahoma"/>
          <w:sz w:val="24"/>
          <w:szCs w:val="24"/>
        </w:rPr>
        <w:t>clasificación</w:t>
      </w:r>
      <w:r w:rsidR="00F030F8" w:rsidRPr="00F030F8">
        <w:rPr>
          <w:rFonts w:ascii="Palatino Linotype" w:hAnsi="Palatino Linotype" w:cs="Tahoma"/>
          <w:sz w:val="24"/>
          <w:szCs w:val="24"/>
        </w:rPr>
        <w:t xml:space="preserve"> de la información</w:t>
      </w:r>
      <w:r>
        <w:rPr>
          <w:rFonts w:ascii="Palatino Linotype" w:hAnsi="Palatino Linotype" w:cs="Tahoma"/>
          <w:sz w:val="24"/>
          <w:szCs w:val="24"/>
        </w:rPr>
        <w:t>;</w:t>
      </w:r>
      <w:r w:rsidR="00F030F8" w:rsidRPr="00F030F8">
        <w:t xml:space="preserve"> </w:t>
      </w:r>
      <w:r>
        <w:rPr>
          <w:rFonts w:ascii="Palatino Linotype" w:hAnsi="Palatino Linotype" w:cs="Tahoma"/>
          <w:sz w:val="24"/>
          <w:szCs w:val="24"/>
        </w:rPr>
        <w:t xml:space="preserve">máxime, como acontece en el caso en concreto, </w:t>
      </w:r>
      <w:r w:rsidR="00F030F8" w:rsidRPr="00F030F8">
        <w:rPr>
          <w:rFonts w:ascii="Palatino Linotype" w:hAnsi="Palatino Linotype" w:cs="Tahoma"/>
          <w:sz w:val="24"/>
          <w:szCs w:val="24"/>
        </w:rPr>
        <w:t xml:space="preserve">cuando </w:t>
      </w:r>
      <w:r w:rsidR="00F030F8">
        <w:rPr>
          <w:rFonts w:ascii="Palatino Linotype" w:hAnsi="Palatino Linotype" w:cs="Tahoma"/>
          <w:sz w:val="24"/>
          <w:szCs w:val="24"/>
        </w:rPr>
        <w:t>el sujeto obligado</w:t>
      </w:r>
      <w:r w:rsidR="00F030F8" w:rsidRPr="00F030F8">
        <w:rPr>
          <w:rFonts w:ascii="Palatino Linotype" w:hAnsi="Palatino Linotype" w:cs="Tahoma"/>
          <w:sz w:val="24"/>
          <w:szCs w:val="24"/>
        </w:rPr>
        <w:t xml:space="preserve"> omitió precisar los elementos de daño que pudiera causar la difusión de la información</w:t>
      </w:r>
      <w:r w:rsidR="00F030F8">
        <w:rPr>
          <w:rFonts w:ascii="Palatino Linotype" w:hAnsi="Palatino Linotype" w:cs="Tahoma"/>
          <w:sz w:val="24"/>
          <w:szCs w:val="24"/>
        </w:rPr>
        <w:t>.</w:t>
      </w:r>
    </w:p>
    <w:p w:rsidR="00F030F8" w:rsidRDefault="00F030F8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F030F8" w:rsidRDefault="00F030F8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 xml:space="preserve">Asimismo, el Órgano Garante a nivel Nacional indica que este Instituto cuenta con atribuciones para </w:t>
      </w:r>
      <w:r w:rsidR="00A63FE9">
        <w:rPr>
          <w:rFonts w:ascii="Palatino Linotype" w:hAnsi="Palatino Linotype" w:cs="Tahoma"/>
          <w:sz w:val="24"/>
          <w:szCs w:val="24"/>
        </w:rPr>
        <w:t>e</w:t>
      </w:r>
      <w:r w:rsidR="0056175F">
        <w:rPr>
          <w:rFonts w:ascii="Palatino Linotype" w:hAnsi="Palatino Linotype" w:cs="Tahoma"/>
          <w:sz w:val="24"/>
          <w:szCs w:val="24"/>
        </w:rPr>
        <w:t>stablecer un periodo de clasific</w:t>
      </w:r>
      <w:r w:rsidR="00A63FE9">
        <w:rPr>
          <w:rFonts w:ascii="Palatino Linotype" w:hAnsi="Palatino Linotype" w:cs="Tahoma"/>
          <w:sz w:val="24"/>
          <w:szCs w:val="24"/>
        </w:rPr>
        <w:t>ación acorde con la materia de la información de la que se trate</w:t>
      </w:r>
      <w:r w:rsidR="0056175F">
        <w:rPr>
          <w:rFonts w:ascii="Palatino Linotype" w:hAnsi="Palatino Linotype" w:cs="Tahoma"/>
          <w:sz w:val="24"/>
          <w:szCs w:val="24"/>
        </w:rPr>
        <w:t>.</w:t>
      </w:r>
    </w:p>
    <w:p w:rsidR="0056175F" w:rsidRDefault="0056175F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56175F" w:rsidRDefault="0056175F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>Bajo esa lógica, estimo que en el presente caso no s</w:t>
      </w:r>
      <w:r w:rsidR="00DC7DD2">
        <w:rPr>
          <w:rFonts w:ascii="Palatino Linotype" w:hAnsi="Palatino Linotype" w:cs="Tahoma"/>
          <w:sz w:val="24"/>
          <w:szCs w:val="24"/>
        </w:rPr>
        <w:t>ó</w:t>
      </w:r>
      <w:r w:rsidR="00A63FE9">
        <w:rPr>
          <w:rFonts w:ascii="Palatino Linotype" w:hAnsi="Palatino Linotype" w:cs="Tahoma"/>
          <w:sz w:val="24"/>
          <w:szCs w:val="24"/>
        </w:rPr>
        <w:t xml:space="preserve">lo </w:t>
      </w:r>
      <w:r>
        <w:rPr>
          <w:rFonts w:ascii="Palatino Linotype" w:hAnsi="Palatino Linotype" w:cs="Tahoma"/>
          <w:sz w:val="24"/>
          <w:szCs w:val="24"/>
        </w:rPr>
        <w:t xml:space="preserve">se debió haber señalado que la información solicitada </w:t>
      </w:r>
      <w:r w:rsidRPr="009E42B2">
        <w:rPr>
          <w:rFonts w:ascii="Palatino Linotype" w:hAnsi="Palatino Linotype" w:cs="Tahoma"/>
          <w:b/>
          <w:sz w:val="24"/>
          <w:szCs w:val="24"/>
          <w:u w:val="single"/>
        </w:rPr>
        <w:t>podría</w:t>
      </w:r>
      <w:r>
        <w:rPr>
          <w:rFonts w:ascii="Palatino Linotype" w:hAnsi="Palatino Linotype" w:cs="Tahoma"/>
          <w:sz w:val="24"/>
          <w:szCs w:val="24"/>
        </w:rPr>
        <w:t xml:space="preserve"> </w:t>
      </w:r>
      <w:r w:rsidR="00A63FE9">
        <w:rPr>
          <w:rFonts w:ascii="Palatino Linotype" w:hAnsi="Palatino Linotype" w:cs="Tahoma"/>
          <w:sz w:val="24"/>
          <w:szCs w:val="24"/>
        </w:rPr>
        <w:t>considerarse confidencial</w:t>
      </w:r>
      <w:r>
        <w:rPr>
          <w:rFonts w:ascii="Palatino Linotype" w:hAnsi="Palatino Linotype" w:cs="Tahoma"/>
          <w:sz w:val="24"/>
          <w:szCs w:val="24"/>
        </w:rPr>
        <w:t xml:space="preserve">, dejando al sujeto obligado en plena libertad de determinar lo que es o no información clasificada; sino que este Instituto debió allegarse </w:t>
      </w:r>
      <w:r w:rsidR="00F75629">
        <w:rPr>
          <w:rFonts w:ascii="Palatino Linotype" w:hAnsi="Palatino Linotype" w:cs="Tahoma"/>
          <w:sz w:val="24"/>
          <w:szCs w:val="24"/>
        </w:rPr>
        <w:t>de todos los</w:t>
      </w:r>
      <w:r>
        <w:rPr>
          <w:rFonts w:ascii="Palatino Linotype" w:hAnsi="Palatino Linotype" w:cs="Tahoma"/>
          <w:sz w:val="24"/>
          <w:szCs w:val="24"/>
        </w:rPr>
        <w:t xml:space="preserve"> elementos para determinar </w:t>
      </w:r>
      <w:r w:rsidR="00F75629">
        <w:rPr>
          <w:rFonts w:ascii="Palatino Linotype" w:hAnsi="Palatino Linotype" w:cs="Tahoma"/>
          <w:sz w:val="24"/>
          <w:szCs w:val="24"/>
        </w:rPr>
        <w:t>con plena certeza</w:t>
      </w:r>
      <w:r>
        <w:rPr>
          <w:rFonts w:ascii="Palatino Linotype" w:hAnsi="Palatino Linotype" w:cs="Tahoma"/>
          <w:sz w:val="24"/>
          <w:szCs w:val="24"/>
        </w:rPr>
        <w:t xml:space="preserve"> si la información </w:t>
      </w:r>
      <w:r w:rsidR="00A63FE9">
        <w:rPr>
          <w:rFonts w:ascii="Palatino Linotype" w:hAnsi="Palatino Linotype" w:cs="Tahoma"/>
          <w:sz w:val="24"/>
          <w:szCs w:val="24"/>
        </w:rPr>
        <w:t>proporcionada por el sujeto o</w:t>
      </w:r>
      <w:r w:rsidR="00F75629">
        <w:rPr>
          <w:rFonts w:ascii="Palatino Linotype" w:hAnsi="Palatino Linotype" w:cs="Tahoma"/>
          <w:sz w:val="24"/>
          <w:szCs w:val="24"/>
        </w:rPr>
        <w:t>bligado en su respuesta inicial</w:t>
      </w:r>
      <w:r w:rsidR="00A63FE9">
        <w:rPr>
          <w:rFonts w:ascii="Palatino Linotype" w:hAnsi="Palatino Linotype" w:cs="Tahoma"/>
          <w:sz w:val="24"/>
          <w:szCs w:val="24"/>
        </w:rPr>
        <w:t xml:space="preserve"> actualiza </w:t>
      </w:r>
      <w:r w:rsidR="00DC7DD2">
        <w:rPr>
          <w:rFonts w:ascii="Palatino Linotype" w:hAnsi="Palatino Linotype" w:cs="Tahoma"/>
          <w:sz w:val="24"/>
          <w:szCs w:val="24"/>
        </w:rPr>
        <w:t>alguno</w:t>
      </w:r>
      <w:r w:rsidR="00A63FE9">
        <w:rPr>
          <w:rFonts w:ascii="Palatino Linotype" w:hAnsi="Palatino Linotype" w:cs="Tahoma"/>
          <w:sz w:val="24"/>
          <w:szCs w:val="24"/>
        </w:rPr>
        <w:t xml:space="preserve"> de los supuestos de clasificación pre</w:t>
      </w:r>
      <w:r w:rsidR="00F75629">
        <w:rPr>
          <w:rFonts w:ascii="Palatino Linotype" w:hAnsi="Palatino Linotype" w:cs="Tahoma"/>
          <w:sz w:val="24"/>
          <w:szCs w:val="24"/>
        </w:rPr>
        <w:t>vistos por la Ley en la materia</w:t>
      </w:r>
      <w:r>
        <w:rPr>
          <w:rFonts w:ascii="Palatino Linotype" w:hAnsi="Palatino Linotype" w:cs="Tahoma"/>
          <w:sz w:val="24"/>
          <w:szCs w:val="24"/>
        </w:rPr>
        <w:t xml:space="preserve">; </w:t>
      </w:r>
      <w:r w:rsidR="00F75629">
        <w:rPr>
          <w:rFonts w:ascii="Palatino Linotype" w:hAnsi="Palatino Linotype" w:cs="Tahoma"/>
          <w:sz w:val="24"/>
          <w:szCs w:val="24"/>
        </w:rPr>
        <w:t xml:space="preserve">elaborar los argumentos para demostrar que la información es susceptible de protegerse o no, </w:t>
      </w:r>
      <w:r>
        <w:rPr>
          <w:rFonts w:ascii="Palatino Linotype" w:hAnsi="Palatino Linotype" w:cs="Tahoma"/>
          <w:sz w:val="24"/>
          <w:szCs w:val="24"/>
        </w:rPr>
        <w:t xml:space="preserve">efectuar la prueba de daño correspondiente y fijar un </w:t>
      </w:r>
      <w:r w:rsidR="00F75629">
        <w:rPr>
          <w:rFonts w:ascii="Palatino Linotype" w:hAnsi="Palatino Linotype" w:cs="Tahoma"/>
          <w:sz w:val="24"/>
          <w:szCs w:val="24"/>
        </w:rPr>
        <w:t xml:space="preserve">tiempo </w:t>
      </w:r>
      <w:r>
        <w:rPr>
          <w:rFonts w:ascii="Palatino Linotype" w:hAnsi="Palatino Linotype" w:cs="Tahoma"/>
          <w:sz w:val="24"/>
          <w:szCs w:val="24"/>
        </w:rPr>
        <w:t xml:space="preserve">de reserva </w:t>
      </w:r>
      <w:r w:rsidR="00F75629">
        <w:rPr>
          <w:rFonts w:ascii="Palatino Linotype" w:hAnsi="Palatino Linotype" w:cs="Tahoma"/>
          <w:sz w:val="24"/>
          <w:szCs w:val="24"/>
        </w:rPr>
        <w:t>razonable</w:t>
      </w:r>
      <w:r>
        <w:rPr>
          <w:rFonts w:ascii="Palatino Linotype" w:hAnsi="Palatino Linotype" w:cs="Tahoma"/>
          <w:sz w:val="24"/>
          <w:szCs w:val="24"/>
        </w:rPr>
        <w:t>.</w:t>
      </w:r>
    </w:p>
    <w:p w:rsidR="0056175F" w:rsidRDefault="0056175F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985D1F" w:rsidRDefault="0056175F" w:rsidP="00985D1F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t xml:space="preserve">Pues solo así, este Instituto como máxima autoridad en materia de derecho de acceso a la información y protección de datos personales, garantiza que los particulares puedan ejercer sus derechos y ser partícipes de la vida democrática de nuestro </w:t>
      </w:r>
      <w:r w:rsidR="007F02F3">
        <w:rPr>
          <w:rFonts w:ascii="Palatino Linotype" w:hAnsi="Palatino Linotype" w:cs="Tahoma"/>
          <w:sz w:val="24"/>
          <w:szCs w:val="24"/>
        </w:rPr>
        <w:t>E</w:t>
      </w:r>
      <w:r>
        <w:rPr>
          <w:rFonts w:ascii="Palatino Linotype" w:hAnsi="Palatino Linotype" w:cs="Tahoma"/>
          <w:sz w:val="24"/>
          <w:szCs w:val="24"/>
        </w:rPr>
        <w:t>stado</w:t>
      </w:r>
      <w:r w:rsidR="00985D1F">
        <w:rPr>
          <w:rFonts w:ascii="Palatino Linotype" w:hAnsi="Palatino Linotype" w:cs="Tahoma"/>
          <w:sz w:val="24"/>
          <w:szCs w:val="24"/>
        </w:rPr>
        <w:t>; ello es acorde c</w:t>
      </w:r>
      <w:bookmarkStart w:id="0" w:name="_GoBack"/>
      <w:bookmarkEnd w:id="0"/>
      <w:r w:rsidR="00985D1F">
        <w:rPr>
          <w:rFonts w:ascii="Palatino Linotype" w:hAnsi="Palatino Linotype" w:cs="Tahoma"/>
          <w:sz w:val="24"/>
          <w:szCs w:val="24"/>
        </w:rPr>
        <w:t>on el principio de certeza que rige a este Instituto, de acuerdo al artículo 9°, fracción I, de la Ley de Transparencia y Acceso a la Información Pública del Estado de México y Municipios.</w:t>
      </w:r>
    </w:p>
    <w:p w:rsidR="0056175F" w:rsidRDefault="0056175F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3C374F" w:rsidRDefault="003C374F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D6548F" w:rsidRDefault="0056175F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>
        <w:rPr>
          <w:rFonts w:ascii="Palatino Linotype" w:hAnsi="Palatino Linotype" w:cs="Tahoma"/>
          <w:sz w:val="24"/>
          <w:szCs w:val="24"/>
        </w:rPr>
        <w:lastRenderedPageBreak/>
        <w:t>Por tanto, mi postura es a favor de efectuar un análisis exhaustivo en todos aquellos casos que restrinjan el derecho de acceso a la información de los particulares, como es la figura de la clasificación de la información</w:t>
      </w:r>
      <w:r w:rsidR="00CE3CDC">
        <w:rPr>
          <w:rFonts w:ascii="Palatino Linotype" w:hAnsi="Palatino Linotype" w:cs="Tahoma"/>
          <w:sz w:val="24"/>
          <w:szCs w:val="24"/>
        </w:rPr>
        <w:t xml:space="preserve"> y no sólo avocarnos a </w:t>
      </w:r>
      <w:r w:rsidR="00F75629">
        <w:rPr>
          <w:rFonts w:ascii="Palatino Linotype" w:hAnsi="Palatino Linotype" w:cs="Tahoma"/>
          <w:sz w:val="24"/>
          <w:szCs w:val="24"/>
        </w:rPr>
        <w:t>inferir que podría tratarse de información clasificada.</w:t>
      </w:r>
    </w:p>
    <w:p w:rsidR="0056175F" w:rsidRPr="00085241" w:rsidRDefault="0056175F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</w:p>
    <w:p w:rsidR="00A96CE5" w:rsidRPr="00085241" w:rsidRDefault="00A96CE5" w:rsidP="00A462CB">
      <w:pPr>
        <w:spacing w:after="0" w:line="276" w:lineRule="auto"/>
        <w:jc w:val="both"/>
        <w:rPr>
          <w:rFonts w:ascii="Palatino Linotype" w:eastAsia="Arial Unicode MS" w:hAnsi="Palatino Linotype" w:cs="Tahoma"/>
          <w:sz w:val="24"/>
          <w:szCs w:val="24"/>
        </w:rPr>
      </w:pPr>
    </w:p>
    <w:p w:rsidR="009E0861" w:rsidRPr="00085241" w:rsidRDefault="009E0861" w:rsidP="00A462CB">
      <w:pPr>
        <w:spacing w:after="0" w:line="276" w:lineRule="auto"/>
        <w:jc w:val="both"/>
        <w:rPr>
          <w:rFonts w:ascii="Palatino Linotype" w:hAnsi="Palatino Linotype" w:cs="Tahoma"/>
          <w:sz w:val="24"/>
          <w:szCs w:val="24"/>
        </w:rPr>
      </w:pPr>
      <w:r w:rsidRPr="00085241">
        <w:rPr>
          <w:rFonts w:ascii="Palatino Linotype" w:hAnsi="Palatino Linotype" w:cs="Tahoma"/>
          <w:sz w:val="24"/>
          <w:szCs w:val="24"/>
        </w:rPr>
        <w:t xml:space="preserve">Así, con base en los razonamientos expuestos, </w:t>
      </w:r>
      <w:r w:rsidRPr="00085241">
        <w:rPr>
          <w:rFonts w:ascii="Palatino Linotype" w:hAnsi="Palatino Linotype" w:cs="Tahoma"/>
          <w:b/>
          <w:sz w:val="24"/>
          <w:szCs w:val="24"/>
        </w:rPr>
        <w:t>se emite el presente Voto Particular</w:t>
      </w:r>
      <w:r w:rsidRPr="00085241">
        <w:rPr>
          <w:rFonts w:ascii="Palatino Linotype" w:hAnsi="Palatino Linotype" w:cs="Tahoma"/>
          <w:sz w:val="24"/>
          <w:szCs w:val="24"/>
        </w:rPr>
        <w:t>.</w:t>
      </w:r>
    </w:p>
    <w:p w:rsidR="00553ADE" w:rsidRPr="00085241" w:rsidRDefault="00553ADE" w:rsidP="00A462CB">
      <w:pPr>
        <w:spacing w:after="0" w:line="276" w:lineRule="auto"/>
        <w:jc w:val="center"/>
        <w:rPr>
          <w:rFonts w:ascii="Palatino Linotype" w:hAnsi="Palatino Linotype" w:cs="Tahoma"/>
          <w:sz w:val="24"/>
          <w:szCs w:val="24"/>
        </w:rPr>
      </w:pPr>
    </w:p>
    <w:p w:rsidR="00553ADE" w:rsidRPr="00A0224B" w:rsidRDefault="00A0224B" w:rsidP="00A0224B">
      <w:pPr>
        <w:spacing w:after="0" w:line="276" w:lineRule="auto"/>
        <w:jc w:val="center"/>
        <w:rPr>
          <w:rFonts w:ascii="Palatino Linotype" w:hAnsi="Palatino Linotype" w:cs="Tahoma"/>
          <w:b/>
          <w:sz w:val="24"/>
          <w:szCs w:val="24"/>
        </w:rPr>
      </w:pPr>
      <w:r w:rsidRPr="00A0224B">
        <w:rPr>
          <w:rFonts w:ascii="Palatino Linotype" w:hAnsi="Palatino Linotype" w:cs="Tahoma"/>
          <w:b/>
          <w:sz w:val="24"/>
          <w:szCs w:val="24"/>
        </w:rPr>
        <w:t>(Rúbrica)</w:t>
      </w:r>
    </w:p>
    <w:p w:rsidR="00553ADE" w:rsidRPr="00085241" w:rsidRDefault="00553ADE" w:rsidP="00A462CB">
      <w:pPr>
        <w:spacing w:after="0" w:line="276" w:lineRule="auto"/>
        <w:jc w:val="center"/>
        <w:rPr>
          <w:rFonts w:ascii="Palatino Linotype" w:hAnsi="Palatino Linotype" w:cs="Tahoma"/>
          <w:b/>
          <w:sz w:val="24"/>
          <w:szCs w:val="24"/>
        </w:rPr>
      </w:pPr>
      <w:r w:rsidRPr="00085241">
        <w:rPr>
          <w:rFonts w:ascii="Palatino Linotype" w:hAnsi="Palatino Linotype" w:cs="Tahoma"/>
          <w:b/>
          <w:sz w:val="24"/>
          <w:szCs w:val="24"/>
        </w:rPr>
        <w:t>Luis Gustavo Parra Noriega</w:t>
      </w:r>
    </w:p>
    <w:p w:rsidR="003512C9" w:rsidRPr="00085241" w:rsidRDefault="00553ADE" w:rsidP="00F44957">
      <w:pPr>
        <w:spacing w:after="0" w:line="276" w:lineRule="auto"/>
        <w:jc w:val="center"/>
        <w:rPr>
          <w:rFonts w:ascii="Palatino Linotype" w:hAnsi="Palatino Linotype" w:cs="Tahoma"/>
          <w:sz w:val="24"/>
          <w:szCs w:val="24"/>
        </w:rPr>
      </w:pPr>
      <w:r w:rsidRPr="00085241">
        <w:rPr>
          <w:rFonts w:ascii="Palatino Linotype" w:hAnsi="Palatino Linotype" w:cs="Tahoma"/>
          <w:sz w:val="24"/>
          <w:szCs w:val="24"/>
        </w:rPr>
        <w:t>Comisionado</w:t>
      </w:r>
    </w:p>
    <w:sectPr w:rsidR="003512C9" w:rsidRPr="00085241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9AB" w:rsidRDefault="003379AB" w:rsidP="00EE29F6">
      <w:pPr>
        <w:spacing w:after="0" w:line="240" w:lineRule="auto"/>
      </w:pPr>
      <w:r>
        <w:separator/>
      </w:r>
    </w:p>
  </w:endnote>
  <w:endnote w:type="continuationSeparator" w:id="0">
    <w:p w:rsidR="003379AB" w:rsidRDefault="003379AB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3357" w:rsidRDefault="0036335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D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D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3357" w:rsidRDefault="0036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9AB" w:rsidRDefault="003379AB" w:rsidP="00EE29F6">
      <w:pPr>
        <w:spacing w:after="0" w:line="240" w:lineRule="auto"/>
      </w:pPr>
      <w:r>
        <w:separator/>
      </w:r>
    </w:p>
  </w:footnote>
  <w:footnote w:type="continuationSeparator" w:id="0">
    <w:p w:rsidR="003379AB" w:rsidRDefault="003379AB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363357" w:rsidRPr="001106EA" w:rsidTr="00543DF4">
      <w:trPr>
        <w:trHeight w:val="1843"/>
      </w:trPr>
      <w:tc>
        <w:tcPr>
          <w:tcW w:w="2830" w:type="dxa"/>
          <w:vAlign w:val="bottom"/>
        </w:tcPr>
        <w:p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616" cy="1160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63357" w:rsidRDefault="00363357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363357" w:rsidRPr="001106EA" w:rsidRDefault="00363357" w:rsidP="001106EA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</w:p>
        <w:tbl>
          <w:tblPr>
            <w:tblStyle w:val="Tablaconcuadrcula"/>
            <w:tblW w:w="5563" w:type="dxa"/>
            <w:tblInd w:w="45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586"/>
            <w:gridCol w:w="2977"/>
          </w:tblGrid>
          <w:tr w:rsidR="005A4884" w:rsidTr="005A4884">
            <w:trPr>
              <w:gridAfter w:val="1"/>
              <w:wAfter w:w="2977" w:type="dxa"/>
              <w:trHeight w:val="463"/>
            </w:trPr>
            <w:tc>
              <w:tcPr>
                <w:tcW w:w="2586" w:type="dxa"/>
              </w:tcPr>
              <w:p w:rsidR="005A4884" w:rsidRDefault="005A4884" w:rsidP="005A4884">
                <w:pPr>
                  <w:pStyle w:val="Encabezado"/>
                  <w:ind w:left="386"/>
                  <w:jc w:val="right"/>
                  <w:rPr>
                    <w:rFonts w:ascii="Palatino Linotype" w:hAnsi="Palatino Linotype" w:cs="Tahoma"/>
                    <w:b/>
                  </w:rPr>
                </w:pPr>
                <w:r w:rsidRPr="00085241">
                  <w:rPr>
                    <w:rFonts w:ascii="Palatino Linotype" w:hAnsi="Palatino Linotype" w:cs="Tahoma"/>
                    <w:b/>
                  </w:rPr>
                  <w:t>Voto Particular</w:t>
                </w:r>
              </w:p>
            </w:tc>
          </w:tr>
          <w:tr w:rsidR="005A4884" w:rsidTr="005A4884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586" w:type="dxa"/>
              </w:tcPr>
              <w:p w:rsidR="005A4884" w:rsidRDefault="005A4884" w:rsidP="005A4884">
                <w:pPr>
                  <w:pStyle w:val="Encabezado"/>
                  <w:jc w:val="right"/>
                  <w:rPr>
                    <w:rFonts w:ascii="Palatino Linotype" w:hAnsi="Palatino Linotype" w:cs="Tahoma"/>
                    <w:b/>
                  </w:rPr>
                </w:pPr>
                <w:r w:rsidRPr="00085241">
                  <w:rPr>
                    <w:rFonts w:ascii="Palatino Linotype" w:hAnsi="Palatino Linotype" w:cs="Tahoma"/>
                    <w:b/>
                  </w:rPr>
                  <w:t>Recurso de Revisión:</w:t>
                </w:r>
              </w:p>
            </w:tc>
            <w:tc>
              <w:tcPr>
                <w:tcW w:w="2977" w:type="dxa"/>
              </w:tcPr>
              <w:p w:rsidR="005A4884" w:rsidRDefault="005A4884" w:rsidP="005A4884">
                <w:pPr>
                  <w:pStyle w:val="Encabezado"/>
                  <w:jc w:val="both"/>
                  <w:rPr>
                    <w:rFonts w:ascii="Palatino Linotype" w:hAnsi="Palatino Linotype" w:cs="Tahoma"/>
                    <w:b/>
                  </w:rPr>
                </w:pPr>
                <w:r>
                  <w:rPr>
                    <w:rFonts w:ascii="Palatino Linotype" w:hAnsi="Palatino Linotype" w:cs="Tahoma"/>
                    <w:b/>
                  </w:rPr>
                  <w:t>03195</w:t>
                </w:r>
                <w:r w:rsidRPr="00085241">
                  <w:rPr>
                    <w:rFonts w:ascii="Palatino Linotype" w:hAnsi="Palatino Linotype" w:cs="Tahoma"/>
                    <w:b/>
                  </w:rPr>
                  <w:t>/INFOEM/IP/RR/2018</w:t>
                </w:r>
              </w:p>
            </w:tc>
          </w:tr>
          <w:tr w:rsidR="005A4884" w:rsidTr="005A4884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586" w:type="dxa"/>
              </w:tcPr>
              <w:p w:rsidR="005A4884" w:rsidRDefault="005A4884" w:rsidP="005A4884">
                <w:pPr>
                  <w:pStyle w:val="Encabezado"/>
                  <w:jc w:val="right"/>
                  <w:rPr>
                    <w:rFonts w:ascii="Palatino Linotype" w:hAnsi="Palatino Linotype" w:cs="Tahoma"/>
                    <w:b/>
                  </w:rPr>
                </w:pPr>
                <w:r w:rsidRPr="00085241">
                  <w:rPr>
                    <w:rFonts w:ascii="Palatino Linotype" w:hAnsi="Palatino Linotype" w:cs="Tahoma"/>
                    <w:b/>
                  </w:rPr>
                  <w:t>Sujeto Obligado:</w:t>
                </w:r>
              </w:p>
            </w:tc>
            <w:tc>
              <w:tcPr>
                <w:tcW w:w="2977" w:type="dxa"/>
              </w:tcPr>
              <w:p w:rsidR="005A4884" w:rsidRDefault="005A4884" w:rsidP="005A4884">
                <w:pPr>
                  <w:pStyle w:val="Encabezado"/>
                  <w:jc w:val="both"/>
                  <w:rPr>
                    <w:rFonts w:ascii="Palatino Linotype" w:hAnsi="Palatino Linotype" w:cs="Tahoma"/>
                    <w:b/>
                  </w:rPr>
                </w:pPr>
                <w:r>
                  <w:rPr>
                    <w:rFonts w:ascii="Palatino Linotype" w:hAnsi="Palatino Linotype" w:cs="Tahoma"/>
                    <w:b/>
                  </w:rPr>
                  <w:t>Instituto de Salud del Estado de México</w:t>
                </w:r>
              </w:p>
            </w:tc>
          </w:tr>
          <w:tr w:rsidR="005A4884" w:rsidTr="005A4884">
            <w:tblPrEx>
              <w:tblCellMar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Ex>
            <w:tc>
              <w:tcPr>
                <w:tcW w:w="2586" w:type="dxa"/>
              </w:tcPr>
              <w:p w:rsidR="005A4884" w:rsidRDefault="005A4884" w:rsidP="005A4884">
                <w:pPr>
                  <w:pStyle w:val="Encabezado"/>
                  <w:jc w:val="right"/>
                  <w:rPr>
                    <w:rFonts w:ascii="Palatino Linotype" w:hAnsi="Palatino Linotype" w:cs="Tahoma"/>
                    <w:b/>
                  </w:rPr>
                </w:pPr>
                <w:r w:rsidRPr="00085241">
                  <w:rPr>
                    <w:rFonts w:ascii="Palatino Linotype" w:hAnsi="Palatino Linotype" w:cs="Tahoma"/>
                    <w:b/>
                  </w:rPr>
                  <w:t>Comisionada Ponente:</w:t>
                </w:r>
              </w:p>
            </w:tc>
            <w:tc>
              <w:tcPr>
                <w:tcW w:w="2977" w:type="dxa"/>
              </w:tcPr>
              <w:p w:rsidR="005A4884" w:rsidRDefault="005A4884" w:rsidP="005A4884">
                <w:pPr>
                  <w:pStyle w:val="Encabezado"/>
                  <w:jc w:val="both"/>
                  <w:rPr>
                    <w:rFonts w:ascii="Palatino Linotype" w:hAnsi="Palatino Linotype" w:cs="Tahoma"/>
                    <w:b/>
                  </w:rPr>
                </w:pPr>
                <w:r>
                  <w:rPr>
                    <w:rFonts w:ascii="Palatino Linotype" w:hAnsi="Palatino Linotype" w:cs="Tahoma"/>
                    <w:b/>
                  </w:rPr>
                  <w:t>Zulema Martínez Sánchez</w:t>
                </w:r>
              </w:p>
            </w:tc>
          </w:tr>
        </w:tbl>
        <w:p w:rsidR="00363357" w:rsidRPr="001106EA" w:rsidRDefault="00363357" w:rsidP="005A4884">
          <w:pPr>
            <w:pStyle w:val="Encabezado"/>
            <w:ind w:left="850"/>
            <w:jc w:val="both"/>
            <w:rPr>
              <w:rFonts w:ascii="Tahoma" w:hAnsi="Tahoma" w:cs="Tahoma"/>
            </w:rPr>
          </w:pPr>
        </w:p>
      </w:tc>
    </w:tr>
  </w:tbl>
  <w:p w:rsidR="00363357" w:rsidRPr="001106EA" w:rsidRDefault="00363357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B76DE"/>
    <w:multiLevelType w:val="hybridMultilevel"/>
    <w:tmpl w:val="67F0C59E"/>
    <w:lvl w:ilvl="0" w:tplc="D5A2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D20E6"/>
    <w:multiLevelType w:val="hybridMultilevel"/>
    <w:tmpl w:val="C38A3C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135DD"/>
    <w:multiLevelType w:val="hybridMultilevel"/>
    <w:tmpl w:val="5CBE3C10"/>
    <w:lvl w:ilvl="0" w:tplc="B28052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15"/>
  </w:num>
  <w:num w:numId="9">
    <w:abstractNumId w:val="12"/>
  </w:num>
  <w:num w:numId="10">
    <w:abstractNumId w:val="13"/>
  </w:num>
  <w:num w:numId="11">
    <w:abstractNumId w:val="14"/>
  </w:num>
  <w:num w:numId="12">
    <w:abstractNumId w:val="1"/>
  </w:num>
  <w:num w:numId="13">
    <w:abstractNumId w:val="7"/>
  </w:num>
  <w:num w:numId="14">
    <w:abstractNumId w:val="16"/>
  </w:num>
  <w:num w:numId="15">
    <w:abstractNumId w:val="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4F11"/>
    <w:rsid w:val="00006F73"/>
    <w:rsid w:val="0001600D"/>
    <w:rsid w:val="00020D08"/>
    <w:rsid w:val="00023B3D"/>
    <w:rsid w:val="0002483E"/>
    <w:rsid w:val="0002627D"/>
    <w:rsid w:val="0002759D"/>
    <w:rsid w:val="000301C6"/>
    <w:rsid w:val="000466A3"/>
    <w:rsid w:val="00056BD3"/>
    <w:rsid w:val="00060F74"/>
    <w:rsid w:val="0006561A"/>
    <w:rsid w:val="00085241"/>
    <w:rsid w:val="0008691F"/>
    <w:rsid w:val="00087AC8"/>
    <w:rsid w:val="0009277A"/>
    <w:rsid w:val="00097988"/>
    <w:rsid w:val="00097A79"/>
    <w:rsid w:val="000B235B"/>
    <w:rsid w:val="000B7F6F"/>
    <w:rsid w:val="000C10B7"/>
    <w:rsid w:val="000C6052"/>
    <w:rsid w:val="000D186F"/>
    <w:rsid w:val="000F1CD2"/>
    <w:rsid w:val="00104333"/>
    <w:rsid w:val="0010688C"/>
    <w:rsid w:val="001106EA"/>
    <w:rsid w:val="001159DC"/>
    <w:rsid w:val="00116E1A"/>
    <w:rsid w:val="00136AD8"/>
    <w:rsid w:val="0014038B"/>
    <w:rsid w:val="00140A57"/>
    <w:rsid w:val="0014736A"/>
    <w:rsid w:val="00161815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C363A"/>
    <w:rsid w:val="0020052A"/>
    <w:rsid w:val="00231B68"/>
    <w:rsid w:val="00243A13"/>
    <w:rsid w:val="00246FAF"/>
    <w:rsid w:val="00273B3C"/>
    <w:rsid w:val="0028037C"/>
    <w:rsid w:val="002816CB"/>
    <w:rsid w:val="00295BA5"/>
    <w:rsid w:val="002A138B"/>
    <w:rsid w:val="002A1727"/>
    <w:rsid w:val="002A2EE7"/>
    <w:rsid w:val="002B0E4A"/>
    <w:rsid w:val="002B2877"/>
    <w:rsid w:val="002C2405"/>
    <w:rsid w:val="002C7EBD"/>
    <w:rsid w:val="002E4A9A"/>
    <w:rsid w:val="002E5A1A"/>
    <w:rsid w:val="00333B7A"/>
    <w:rsid w:val="003379AB"/>
    <w:rsid w:val="00344DD1"/>
    <w:rsid w:val="003512C9"/>
    <w:rsid w:val="00363357"/>
    <w:rsid w:val="00390188"/>
    <w:rsid w:val="003973A2"/>
    <w:rsid w:val="003A6218"/>
    <w:rsid w:val="003B5F3A"/>
    <w:rsid w:val="003B6547"/>
    <w:rsid w:val="003B7A5E"/>
    <w:rsid w:val="003C374F"/>
    <w:rsid w:val="003F2426"/>
    <w:rsid w:val="003F48C2"/>
    <w:rsid w:val="003F7CBE"/>
    <w:rsid w:val="0040139C"/>
    <w:rsid w:val="00412CB2"/>
    <w:rsid w:val="004211BB"/>
    <w:rsid w:val="00433746"/>
    <w:rsid w:val="00434B91"/>
    <w:rsid w:val="00434C88"/>
    <w:rsid w:val="00435E69"/>
    <w:rsid w:val="0044391A"/>
    <w:rsid w:val="004452E2"/>
    <w:rsid w:val="00445BDF"/>
    <w:rsid w:val="00447F6F"/>
    <w:rsid w:val="00450B68"/>
    <w:rsid w:val="0045695E"/>
    <w:rsid w:val="00467ACB"/>
    <w:rsid w:val="00485822"/>
    <w:rsid w:val="00490F50"/>
    <w:rsid w:val="004A4555"/>
    <w:rsid w:val="004A555E"/>
    <w:rsid w:val="004B08C4"/>
    <w:rsid w:val="004B541F"/>
    <w:rsid w:val="004B674B"/>
    <w:rsid w:val="004C4912"/>
    <w:rsid w:val="004C6E57"/>
    <w:rsid w:val="004E4CA3"/>
    <w:rsid w:val="004E7007"/>
    <w:rsid w:val="004F0B86"/>
    <w:rsid w:val="00511E06"/>
    <w:rsid w:val="0052260F"/>
    <w:rsid w:val="00524DA5"/>
    <w:rsid w:val="00526DBD"/>
    <w:rsid w:val="00533EA5"/>
    <w:rsid w:val="00543DF4"/>
    <w:rsid w:val="00544812"/>
    <w:rsid w:val="00550AA5"/>
    <w:rsid w:val="00553ADE"/>
    <w:rsid w:val="0056120D"/>
    <w:rsid w:val="0056175F"/>
    <w:rsid w:val="00582CCB"/>
    <w:rsid w:val="00584D73"/>
    <w:rsid w:val="005851F1"/>
    <w:rsid w:val="0059329D"/>
    <w:rsid w:val="005A2510"/>
    <w:rsid w:val="005A4884"/>
    <w:rsid w:val="005C094E"/>
    <w:rsid w:val="005C73EE"/>
    <w:rsid w:val="005D11C8"/>
    <w:rsid w:val="005E2798"/>
    <w:rsid w:val="00600164"/>
    <w:rsid w:val="00600323"/>
    <w:rsid w:val="00605683"/>
    <w:rsid w:val="006248F2"/>
    <w:rsid w:val="00624DE5"/>
    <w:rsid w:val="00627F2B"/>
    <w:rsid w:val="00645087"/>
    <w:rsid w:val="00651B2B"/>
    <w:rsid w:val="00654ACD"/>
    <w:rsid w:val="00657396"/>
    <w:rsid w:val="00682003"/>
    <w:rsid w:val="00684B16"/>
    <w:rsid w:val="006B16FE"/>
    <w:rsid w:val="006B6D1A"/>
    <w:rsid w:val="006F5316"/>
    <w:rsid w:val="007071CF"/>
    <w:rsid w:val="00722FE9"/>
    <w:rsid w:val="00724F08"/>
    <w:rsid w:val="007378E2"/>
    <w:rsid w:val="00742A15"/>
    <w:rsid w:val="0077694E"/>
    <w:rsid w:val="00781082"/>
    <w:rsid w:val="007849A1"/>
    <w:rsid w:val="00792848"/>
    <w:rsid w:val="007A1071"/>
    <w:rsid w:val="007A2D13"/>
    <w:rsid w:val="007D3257"/>
    <w:rsid w:val="007D5554"/>
    <w:rsid w:val="007E3F77"/>
    <w:rsid w:val="007E5D4B"/>
    <w:rsid w:val="007F02F3"/>
    <w:rsid w:val="007F1C1D"/>
    <w:rsid w:val="007F41BF"/>
    <w:rsid w:val="007F7D80"/>
    <w:rsid w:val="00802879"/>
    <w:rsid w:val="00836BC2"/>
    <w:rsid w:val="00861757"/>
    <w:rsid w:val="008629DC"/>
    <w:rsid w:val="00874170"/>
    <w:rsid w:val="00884A10"/>
    <w:rsid w:val="00891412"/>
    <w:rsid w:val="008933AC"/>
    <w:rsid w:val="0089469D"/>
    <w:rsid w:val="008A0447"/>
    <w:rsid w:val="008A1DE1"/>
    <w:rsid w:val="008A3DA9"/>
    <w:rsid w:val="008B08C9"/>
    <w:rsid w:val="008E54E2"/>
    <w:rsid w:val="009039FE"/>
    <w:rsid w:val="00922B2E"/>
    <w:rsid w:val="00924A73"/>
    <w:rsid w:val="00926581"/>
    <w:rsid w:val="00927138"/>
    <w:rsid w:val="00927BD1"/>
    <w:rsid w:val="00941847"/>
    <w:rsid w:val="00950355"/>
    <w:rsid w:val="0095470A"/>
    <w:rsid w:val="00954BF1"/>
    <w:rsid w:val="00962B86"/>
    <w:rsid w:val="00965DE9"/>
    <w:rsid w:val="00974836"/>
    <w:rsid w:val="00985D1F"/>
    <w:rsid w:val="0099308A"/>
    <w:rsid w:val="00993790"/>
    <w:rsid w:val="009943E1"/>
    <w:rsid w:val="009B22ED"/>
    <w:rsid w:val="009B2C0B"/>
    <w:rsid w:val="009C0313"/>
    <w:rsid w:val="009D07E2"/>
    <w:rsid w:val="009D49BE"/>
    <w:rsid w:val="009E0861"/>
    <w:rsid w:val="009E41F7"/>
    <w:rsid w:val="009E42B2"/>
    <w:rsid w:val="00A0224B"/>
    <w:rsid w:val="00A13E40"/>
    <w:rsid w:val="00A14343"/>
    <w:rsid w:val="00A22273"/>
    <w:rsid w:val="00A30C52"/>
    <w:rsid w:val="00A364BA"/>
    <w:rsid w:val="00A462CB"/>
    <w:rsid w:val="00A5061A"/>
    <w:rsid w:val="00A54E21"/>
    <w:rsid w:val="00A56DE1"/>
    <w:rsid w:val="00A63FE9"/>
    <w:rsid w:val="00A67498"/>
    <w:rsid w:val="00A742D1"/>
    <w:rsid w:val="00A87924"/>
    <w:rsid w:val="00A96933"/>
    <w:rsid w:val="00A96CE5"/>
    <w:rsid w:val="00AA090B"/>
    <w:rsid w:val="00AA261E"/>
    <w:rsid w:val="00AA38A5"/>
    <w:rsid w:val="00AC333A"/>
    <w:rsid w:val="00AD25D5"/>
    <w:rsid w:val="00AF3B6B"/>
    <w:rsid w:val="00B15570"/>
    <w:rsid w:val="00B2355E"/>
    <w:rsid w:val="00B263C5"/>
    <w:rsid w:val="00B27BBC"/>
    <w:rsid w:val="00B30925"/>
    <w:rsid w:val="00B67355"/>
    <w:rsid w:val="00B71740"/>
    <w:rsid w:val="00B73847"/>
    <w:rsid w:val="00B7393F"/>
    <w:rsid w:val="00B761B1"/>
    <w:rsid w:val="00B80C28"/>
    <w:rsid w:val="00BB6EE3"/>
    <w:rsid w:val="00BC4882"/>
    <w:rsid w:val="00BC55D2"/>
    <w:rsid w:val="00BD06FC"/>
    <w:rsid w:val="00BD4705"/>
    <w:rsid w:val="00BD5DBE"/>
    <w:rsid w:val="00BE678B"/>
    <w:rsid w:val="00BF1AC9"/>
    <w:rsid w:val="00C0033F"/>
    <w:rsid w:val="00C0131C"/>
    <w:rsid w:val="00C153EC"/>
    <w:rsid w:val="00C30FD6"/>
    <w:rsid w:val="00C31FEE"/>
    <w:rsid w:val="00C55FFC"/>
    <w:rsid w:val="00C75CE0"/>
    <w:rsid w:val="00C920D4"/>
    <w:rsid w:val="00CA7627"/>
    <w:rsid w:val="00CC68E1"/>
    <w:rsid w:val="00CD4339"/>
    <w:rsid w:val="00CD6D0D"/>
    <w:rsid w:val="00CD7611"/>
    <w:rsid w:val="00CE3CDC"/>
    <w:rsid w:val="00CE46B3"/>
    <w:rsid w:val="00CE50F9"/>
    <w:rsid w:val="00CF11EE"/>
    <w:rsid w:val="00CF1B14"/>
    <w:rsid w:val="00CF432B"/>
    <w:rsid w:val="00D05740"/>
    <w:rsid w:val="00D11C52"/>
    <w:rsid w:val="00D13875"/>
    <w:rsid w:val="00D15D07"/>
    <w:rsid w:val="00D160F2"/>
    <w:rsid w:val="00D342D7"/>
    <w:rsid w:val="00D357E1"/>
    <w:rsid w:val="00D37CDC"/>
    <w:rsid w:val="00D45BDF"/>
    <w:rsid w:val="00D51426"/>
    <w:rsid w:val="00D51C81"/>
    <w:rsid w:val="00D55429"/>
    <w:rsid w:val="00D6548F"/>
    <w:rsid w:val="00D65D0C"/>
    <w:rsid w:val="00D666D4"/>
    <w:rsid w:val="00D7239D"/>
    <w:rsid w:val="00D75FAE"/>
    <w:rsid w:val="00D76EA4"/>
    <w:rsid w:val="00D77F63"/>
    <w:rsid w:val="00D81CB3"/>
    <w:rsid w:val="00D9114A"/>
    <w:rsid w:val="00D932AD"/>
    <w:rsid w:val="00DA11C0"/>
    <w:rsid w:val="00DC7DD2"/>
    <w:rsid w:val="00DE4452"/>
    <w:rsid w:val="00DF2784"/>
    <w:rsid w:val="00DF6CA0"/>
    <w:rsid w:val="00E145E1"/>
    <w:rsid w:val="00E26123"/>
    <w:rsid w:val="00E34559"/>
    <w:rsid w:val="00E41481"/>
    <w:rsid w:val="00E416F8"/>
    <w:rsid w:val="00E656C1"/>
    <w:rsid w:val="00E70B5D"/>
    <w:rsid w:val="00E750E2"/>
    <w:rsid w:val="00E80E84"/>
    <w:rsid w:val="00E82F77"/>
    <w:rsid w:val="00E83683"/>
    <w:rsid w:val="00E910F8"/>
    <w:rsid w:val="00EA7E26"/>
    <w:rsid w:val="00EB7128"/>
    <w:rsid w:val="00EE29F6"/>
    <w:rsid w:val="00F030F8"/>
    <w:rsid w:val="00F05A41"/>
    <w:rsid w:val="00F14384"/>
    <w:rsid w:val="00F44957"/>
    <w:rsid w:val="00F72D12"/>
    <w:rsid w:val="00F75629"/>
    <w:rsid w:val="00FB3044"/>
    <w:rsid w:val="00FB59D6"/>
    <w:rsid w:val="00FC1D9D"/>
    <w:rsid w:val="00FD1849"/>
    <w:rsid w:val="00FD3150"/>
    <w:rsid w:val="00FD530D"/>
    <w:rsid w:val="00FE4A90"/>
    <w:rsid w:val="00FF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A7E73E-C5B1-46B9-8381-700F8B7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styleId="Textoennegrita">
    <w:name w:val="Strong"/>
    <w:basedOn w:val="Fuentedeprrafopredeter"/>
    <w:qFormat/>
    <w:rsid w:val="00893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7028-738C-4F1B-B5E6-C679AA87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2018-10-01T19:36:00Z</cp:lastPrinted>
  <dcterms:created xsi:type="dcterms:W3CDTF">2018-11-06T18:41:00Z</dcterms:created>
  <dcterms:modified xsi:type="dcterms:W3CDTF">2018-11-06T18:44:00Z</dcterms:modified>
</cp:coreProperties>
</file>